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77"/>
        <w:gridCol w:w="2166"/>
        <w:gridCol w:w="477"/>
      </w:tblGrid>
      <w:tr w:rsidR="00685B32" w:rsidRPr="00685B32" w:rsidTr="00685B32">
        <w:trPr>
          <w:trHeight w:val="1520"/>
        </w:trPr>
        <w:tc>
          <w:tcPr>
            <w:tcW w:w="149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861"/>
            </w:tblGrid>
            <w:tr w:rsidR="00685B32" w:rsidRPr="00685B32">
              <w:trPr>
                <w:trHeight w:val="9315"/>
                <w:tblCellSpacing w:w="0" w:type="dxa"/>
              </w:trPr>
              <w:tc>
                <w:tcPr>
                  <w:tcW w:w="13695" w:type="dxa"/>
                  <w:shd w:val="clear" w:color="auto" w:fill="FFFFFF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861"/>
                  </w:tblGrid>
                  <w:tr w:rsidR="00685B32" w:rsidRPr="00685B32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685B32" w:rsidRPr="00685B32" w:rsidRDefault="00685B32" w:rsidP="00685B3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EC"/>
                          </w:rPr>
                        </w:pPr>
                        <w:r w:rsidRPr="00685B32">
                          <w:rPr>
                            <w:rFonts w:ascii="Arial" w:eastAsia="Times New Roman" w:hAnsi="Arial" w:cs="Arial"/>
                            <w:b/>
                            <w:bCs/>
                            <w:color w:val="0055A5"/>
                            <w:sz w:val="32"/>
                            <w:szCs w:val="32"/>
                            <w:lang w:eastAsia="es-EC"/>
                          </w:rPr>
                          <w:t>BOLETÍN DE PRENSA</w:t>
                        </w:r>
                      </w:p>
                      <w:p w:rsidR="00685B32" w:rsidRPr="00685B32" w:rsidRDefault="00685B32" w:rsidP="00685B32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EC"/>
                          </w:rPr>
                        </w:pPr>
                        <w:r w:rsidRPr="00685B32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EC"/>
                          </w:rPr>
                          <w:t> </w:t>
                        </w:r>
                      </w:p>
                      <w:p w:rsidR="00685B32" w:rsidRPr="00685B32" w:rsidRDefault="00685B32" w:rsidP="00685B32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EC"/>
                          </w:rPr>
                        </w:pPr>
                        <w:r w:rsidRPr="00685B32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es-EC"/>
                          </w:rPr>
                          <w:t>Quito, 25 de mayo de 2016</w:t>
                        </w:r>
                      </w:p>
                      <w:p w:rsidR="00685B32" w:rsidRPr="00685B32" w:rsidRDefault="00685B32" w:rsidP="00685B32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EC"/>
                          </w:rPr>
                        </w:pPr>
                        <w:r w:rsidRPr="00685B32">
                          <w:rPr>
                            <w:rFonts w:ascii="Calibri" w:eastAsia="Times New Roman" w:hAnsi="Calibri" w:cs="Times New Roman"/>
                            <w:sz w:val="24"/>
                            <w:szCs w:val="24"/>
                            <w:lang w:eastAsia="es-EC"/>
                          </w:rPr>
                          <w:t> </w:t>
                        </w:r>
                      </w:p>
                      <w:p w:rsidR="00685B32" w:rsidRPr="00685B32" w:rsidRDefault="00685B32" w:rsidP="00685B32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EC"/>
                          </w:rPr>
                        </w:pPr>
                        <w:r w:rsidRPr="00685B32">
                          <w:rPr>
                            <w:rFonts w:ascii="Arial" w:eastAsia="Times New Roman" w:hAnsi="Arial" w:cs="Arial"/>
                            <w:b/>
                            <w:bCs/>
                            <w:color w:val="0055A5"/>
                            <w:sz w:val="26"/>
                            <w:szCs w:val="26"/>
                            <w:lang w:eastAsia="es-EC"/>
                          </w:rPr>
                          <w:t>A PARTIR DEL 1 DE JUNIO RIGE NUEVA TARIFA TEMPORAL DE IVA</w:t>
                        </w:r>
                      </w:p>
                      <w:p w:rsidR="00685B32" w:rsidRPr="00685B32" w:rsidRDefault="00685B32" w:rsidP="00685B32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EC"/>
                          </w:rPr>
                        </w:pPr>
                        <w:r w:rsidRPr="00685B32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es-EC"/>
                          </w:rPr>
                          <w:t>Con el objetivo de reconstruir y reactivar las zonas afectadas por el terremoto del pasado 16 de abril, la Ley de Solidaridad y de Corresponsabilidad Ciudadana establece una nueva tarifa del 14% del IVA por el plazo máximo de un año. Esta medida rige desde el 1 de junio de 2016.</w:t>
                        </w:r>
                      </w:p>
                      <w:p w:rsidR="00685B32" w:rsidRPr="00685B32" w:rsidRDefault="00685B32" w:rsidP="00685B32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EC"/>
                          </w:rPr>
                        </w:pPr>
                        <w:r w:rsidRPr="00685B32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es-EC"/>
                          </w:rPr>
                          <w:t>Con el incremento de la tarifa, Ecuador continúa siendo unos de los países con el IVA más bajo de la región. Además, el 90% de los alimentos de la canasta básica, así como la educación, los medicamentos y la salud tienen tarifa de IVA 0% y sus precios no se verán afectados.</w:t>
                        </w:r>
                      </w:p>
                      <w:p w:rsidR="00685B32" w:rsidRPr="00685B32" w:rsidRDefault="00685B32" w:rsidP="00685B32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EC"/>
                          </w:rPr>
                        </w:pPr>
                        <w:r w:rsidRPr="00685B32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es-EC"/>
                          </w:rPr>
                          <w:t>Las personas naturales que sean consumidores finales y que realicen adquisiciones de bienes o servicios en las provincias de Manabí y Esmeraldas, recibirán un descuento equivalente a 2 puntos porcentuales del IVA pagado en sus consumos, es decir, pagarán el 12%.</w:t>
                        </w:r>
                      </w:p>
                      <w:p w:rsidR="00685B32" w:rsidRPr="00685B32" w:rsidRDefault="00685B32" w:rsidP="00685B32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EC"/>
                          </w:rPr>
                        </w:pPr>
                        <w:r w:rsidRPr="00685B32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u w:val="single"/>
                            <w:lang w:eastAsia="es-EC"/>
                          </w:rPr>
                          <w:t xml:space="preserve">¿Qué hacer con sus comprobantes de venta vigentes? </w:t>
                        </w:r>
                      </w:p>
                      <w:p w:rsidR="00685B32" w:rsidRPr="00685B32" w:rsidRDefault="00685B32" w:rsidP="00685B32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EC"/>
                          </w:rPr>
                        </w:pPr>
                        <w:r w:rsidRPr="00685B32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es-EC"/>
                          </w:rPr>
                          <w:t xml:space="preserve">Los contribuyentes pueden seguir utilizándolos hasta la fecha de caducidad de los mismos, para ello deben calcular y registrar el valor del IVA correspondiente al 14%, </w:t>
                        </w:r>
                        <w:proofErr w:type="spellStart"/>
                        <w:r w:rsidRPr="00685B32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es-EC"/>
                          </w:rPr>
                          <w:t>aún</w:t>
                        </w:r>
                        <w:proofErr w:type="spellEnd"/>
                        <w:r w:rsidRPr="00685B32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es-EC"/>
                          </w:rPr>
                          <w:t xml:space="preserve"> cuando el porcentaje de IVA </w:t>
                        </w:r>
                        <w:proofErr w:type="spellStart"/>
                        <w:r w:rsidRPr="00685B32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es-EC"/>
                          </w:rPr>
                          <w:t>preimpreso</w:t>
                        </w:r>
                        <w:proofErr w:type="spellEnd"/>
                        <w:r w:rsidRPr="00685B32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es-EC"/>
                          </w:rPr>
                          <w:t xml:space="preserve"> en el comprobante sea de 12%. La nueva tarifa puede colocarse manualmente sin que esto invalide el documento.</w:t>
                        </w:r>
                      </w:p>
                      <w:p w:rsidR="00685B32" w:rsidRPr="00685B32" w:rsidRDefault="00685B32" w:rsidP="00685B32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EC"/>
                          </w:rPr>
                        </w:pPr>
                        <w:r w:rsidRPr="00685B32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es-EC"/>
                          </w:rPr>
                          <w:t xml:space="preserve">La tarifa del IVA es un requisito de llenado según la normativa correspondiente, por lo que no es necesario que la misma se encuentre </w:t>
                        </w:r>
                        <w:proofErr w:type="spellStart"/>
                        <w:r w:rsidRPr="00685B32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es-EC"/>
                          </w:rPr>
                          <w:t>preimpresa</w:t>
                        </w:r>
                        <w:proofErr w:type="spellEnd"/>
                        <w:r w:rsidRPr="00685B32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es-EC"/>
                          </w:rPr>
                          <w:t>, sin embargo, para facilidad del contribuyente las imprentas autorizadas pueden imprimir los nuevos comprobantes de venta con la tarifa vigente del 14%.</w:t>
                        </w:r>
                      </w:p>
                      <w:p w:rsidR="00685B32" w:rsidRPr="00685B32" w:rsidRDefault="00685B32" w:rsidP="00685B32">
                        <w:pPr>
                          <w:spacing w:before="100" w:beforeAutospacing="1" w:after="100" w:afterAutospacing="1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EC"/>
                          </w:rPr>
                        </w:pPr>
                        <w:r w:rsidRPr="00685B32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es-EC"/>
                          </w:rPr>
                          <w:t xml:space="preserve">Los contribuyentes que emiten documentos mediante </w:t>
                        </w:r>
                        <w:r w:rsidRPr="00685B32">
                          <w:rPr>
                            <w:rFonts w:ascii="Arial" w:eastAsia="Times New Roman" w:hAnsi="Arial" w:cs="Arial"/>
                            <w:sz w:val="24"/>
                            <w:szCs w:val="24"/>
                            <w:lang w:eastAsia="es-EC"/>
                          </w:rPr>
                          <w:lastRenderedPageBreak/>
                          <w:t xml:space="preserve">sistemas electrónicos deben realizar los ajustes necesarios a fin de aplicar la nueva tarifa de IVA, conforme lo establecido en la ficha técnica publicada en </w:t>
                        </w:r>
                        <w:hyperlink r:id="rId5" w:tgtFrame="_blank" w:history="1">
                          <w:r w:rsidRPr="00685B32">
                            <w:rPr>
                              <w:rFonts w:ascii="Arial" w:eastAsia="Times New Roman" w:hAnsi="Arial" w:cs="Arial"/>
                              <w:color w:val="0000FF"/>
                              <w:sz w:val="24"/>
                              <w:szCs w:val="24"/>
                              <w:u w:val="single"/>
                              <w:lang w:eastAsia="es-EC"/>
                            </w:rPr>
                            <w:t>http://www.sri.gob.ec/web/guest/10116</w:t>
                          </w:r>
                        </w:hyperlink>
                      </w:p>
                      <w:p w:rsidR="00685B32" w:rsidRPr="00685B32" w:rsidRDefault="00685B32" w:rsidP="00685B32">
                        <w:pPr>
                          <w:spacing w:after="0" w:line="240" w:lineRule="auto"/>
                          <w:jc w:val="both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EC"/>
                          </w:rPr>
                        </w:pPr>
                        <w:r w:rsidRPr="00685B32">
                          <w:rPr>
                            <w:rFonts w:ascii="Arial" w:eastAsia="Times New Roman" w:hAnsi="Arial" w:cs="Arial"/>
                            <w:b/>
                            <w:bCs/>
                            <w:sz w:val="24"/>
                            <w:szCs w:val="24"/>
                            <w:lang w:eastAsia="es-EC"/>
                          </w:rPr>
                          <w:t> </w:t>
                        </w:r>
                      </w:p>
                    </w:tc>
                  </w:tr>
                </w:tbl>
                <w:p w:rsidR="00685B32" w:rsidRPr="00685B32" w:rsidRDefault="00685B32" w:rsidP="00685B3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C"/>
                    </w:rPr>
                  </w:pPr>
                  <w:r w:rsidRPr="00685B32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EC"/>
                    </w:rPr>
                    <w:lastRenderedPageBreak/>
                    <w:t> </w:t>
                  </w:r>
                </w:p>
              </w:tc>
            </w:tr>
          </w:tbl>
          <w:p w:rsidR="00685B32" w:rsidRPr="00685B32" w:rsidRDefault="00685B32" w:rsidP="00685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C"/>
              </w:rPr>
            </w:pPr>
          </w:p>
        </w:tc>
        <w:tc>
          <w:tcPr>
            <w:tcW w:w="116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5B32" w:rsidRPr="00685B32" w:rsidRDefault="00685B32" w:rsidP="00685B3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EC"/>
              </w:rPr>
            </w:pPr>
            <w:r w:rsidRPr="00685B32">
              <w:rPr>
                <w:rFonts w:ascii="Times New Roman" w:eastAsia="Times New Roman" w:hAnsi="Times New Roman" w:cs="Times New Roman"/>
                <w:b/>
                <w:bCs/>
                <w:color w:val="FF0000"/>
                <w:sz w:val="36"/>
                <w:szCs w:val="36"/>
                <w:lang w:eastAsia="es-EC"/>
              </w:rPr>
              <w:lastRenderedPageBreak/>
              <w:t> </w:t>
            </w:r>
          </w:p>
          <w:p w:rsidR="00685B32" w:rsidRPr="00685B32" w:rsidRDefault="00685B32" w:rsidP="00685B3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EC"/>
              </w:rPr>
            </w:pPr>
            <w:r w:rsidRPr="00685B32">
              <w:rPr>
                <w:rFonts w:ascii="Times New Roman" w:eastAsia="Times New Roman" w:hAnsi="Times New Roman" w:cs="Times New Roman"/>
                <w:b/>
                <w:bCs/>
                <w:color w:val="FF0000"/>
                <w:sz w:val="36"/>
                <w:szCs w:val="36"/>
                <w:lang w:eastAsia="es-EC"/>
              </w:rPr>
              <w:t> </w:t>
            </w:r>
          </w:p>
          <w:p w:rsidR="00685B32" w:rsidRPr="00685B32" w:rsidRDefault="00685B32" w:rsidP="00685B3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EC"/>
              </w:rPr>
            </w:pPr>
            <w:r w:rsidRPr="00685B32">
              <w:rPr>
                <w:rFonts w:ascii="Times New Roman" w:eastAsia="Times New Roman" w:hAnsi="Times New Roman" w:cs="Times New Roman"/>
                <w:b/>
                <w:bCs/>
                <w:color w:val="FF0000"/>
                <w:sz w:val="36"/>
                <w:szCs w:val="36"/>
                <w:lang w:eastAsia="es-EC"/>
              </w:rPr>
              <w:t> </w:t>
            </w:r>
          </w:p>
          <w:p w:rsidR="00685B32" w:rsidRPr="00685B32" w:rsidRDefault="00685B32" w:rsidP="00685B3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EC"/>
              </w:rPr>
            </w:pPr>
            <w:r w:rsidRPr="00685B32">
              <w:rPr>
                <w:rFonts w:ascii="Times New Roman" w:eastAsia="Times New Roman" w:hAnsi="Times New Roman" w:cs="Times New Roman"/>
                <w:b/>
                <w:bCs/>
                <w:color w:val="FF0000"/>
                <w:sz w:val="36"/>
                <w:szCs w:val="36"/>
                <w:lang w:eastAsia="es-EC"/>
              </w:rPr>
              <w:t> </w:t>
            </w:r>
          </w:p>
          <w:p w:rsidR="00685B32" w:rsidRPr="00685B32" w:rsidRDefault="00685B32" w:rsidP="00685B3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EC"/>
              </w:rPr>
            </w:pPr>
            <w:r w:rsidRPr="00685B32">
              <w:rPr>
                <w:rFonts w:ascii="Times New Roman" w:eastAsia="Times New Roman" w:hAnsi="Times New Roman" w:cs="Times New Roman"/>
                <w:b/>
                <w:bCs/>
                <w:color w:val="FF0000"/>
                <w:sz w:val="36"/>
                <w:szCs w:val="36"/>
                <w:lang w:eastAsia="es-EC"/>
              </w:rPr>
              <w:t> </w:t>
            </w:r>
          </w:p>
          <w:p w:rsidR="00685B32" w:rsidRPr="00685B32" w:rsidRDefault="00685B32" w:rsidP="00685B3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EC"/>
              </w:rPr>
            </w:pPr>
            <w:r w:rsidRPr="00685B32">
              <w:rPr>
                <w:rFonts w:ascii="Times New Roman" w:eastAsia="Times New Roman" w:hAnsi="Times New Roman" w:cs="Times New Roman"/>
                <w:b/>
                <w:bCs/>
                <w:color w:val="FF0000"/>
                <w:sz w:val="36"/>
                <w:szCs w:val="36"/>
                <w:lang w:eastAsia="es-EC"/>
              </w:rPr>
              <w:t> </w:t>
            </w:r>
          </w:p>
          <w:p w:rsidR="00685B32" w:rsidRPr="00685B32" w:rsidRDefault="00685B32" w:rsidP="00685B3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EC"/>
              </w:rPr>
            </w:pPr>
            <w:r w:rsidRPr="00685B32">
              <w:rPr>
                <w:rFonts w:ascii="Times New Roman" w:eastAsia="Times New Roman" w:hAnsi="Times New Roman" w:cs="Times New Roman"/>
                <w:b/>
                <w:bCs/>
                <w:color w:val="FF0000"/>
                <w:sz w:val="36"/>
                <w:szCs w:val="36"/>
                <w:lang w:eastAsia="es-EC"/>
              </w:rPr>
              <w:t> </w:t>
            </w:r>
          </w:p>
          <w:p w:rsidR="00685B32" w:rsidRPr="00685B32" w:rsidRDefault="00685B32" w:rsidP="00685B3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EC"/>
              </w:rPr>
            </w:pPr>
            <w:r w:rsidRPr="00685B32">
              <w:rPr>
                <w:rFonts w:ascii="Times New Roman" w:eastAsia="Times New Roman" w:hAnsi="Times New Roman" w:cs="Times New Roman"/>
                <w:sz w:val="24"/>
                <w:szCs w:val="24"/>
                <w:lang w:eastAsia="es-EC"/>
              </w:rPr>
              <w:t> </w:t>
            </w:r>
          </w:p>
          <w:p w:rsidR="00685B32" w:rsidRPr="00685B32" w:rsidRDefault="00685B32" w:rsidP="00685B3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EC"/>
              </w:rPr>
            </w:pPr>
            <w:r w:rsidRPr="00685B32">
              <w:rPr>
                <w:rFonts w:ascii="Times New Roman" w:eastAsia="Times New Roman" w:hAnsi="Times New Roman" w:cs="Times New Roman"/>
                <w:sz w:val="24"/>
                <w:szCs w:val="24"/>
                <w:lang w:eastAsia="es-EC"/>
              </w:rPr>
              <w:t> </w:t>
            </w:r>
          </w:p>
          <w:p w:rsidR="00685B32" w:rsidRPr="00685B32" w:rsidRDefault="00685B32" w:rsidP="00685B3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EC"/>
              </w:rPr>
            </w:pPr>
            <w:r w:rsidRPr="00685B32">
              <w:rPr>
                <w:rFonts w:ascii="Times New Roman" w:eastAsia="Times New Roman" w:hAnsi="Times New Roman" w:cs="Times New Roman"/>
                <w:sz w:val="24"/>
                <w:szCs w:val="24"/>
                <w:lang w:eastAsia="es-EC"/>
              </w:rPr>
              <w:t> </w:t>
            </w:r>
          </w:p>
          <w:p w:rsidR="00685B32" w:rsidRPr="00685B32" w:rsidRDefault="00685B32" w:rsidP="00685B3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C"/>
              </w:rPr>
            </w:pPr>
            <w:r w:rsidRPr="00685B32"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eastAsia="es-EC"/>
              </w:rPr>
              <w:t> </w:t>
            </w:r>
          </w:p>
        </w:tc>
        <w:tc>
          <w:tcPr>
            <w:tcW w:w="149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5B32" w:rsidRPr="00685B32" w:rsidRDefault="00685B32" w:rsidP="00685B3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EC"/>
              </w:rPr>
            </w:pPr>
            <w:r w:rsidRPr="00685B32">
              <w:rPr>
                <w:rFonts w:ascii="Times New Roman" w:eastAsia="Times New Roman" w:hAnsi="Times New Roman" w:cs="Times New Roman"/>
                <w:sz w:val="24"/>
                <w:szCs w:val="24"/>
                <w:lang w:eastAsia="es-EC"/>
              </w:rPr>
              <w:t> </w:t>
            </w:r>
          </w:p>
        </w:tc>
      </w:tr>
      <w:tr w:rsidR="00685B32" w:rsidRPr="00685B32" w:rsidTr="00685B32">
        <w:trPr>
          <w:trHeight w:val="1520"/>
        </w:trPr>
        <w:tc>
          <w:tcPr>
            <w:tcW w:w="1491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85B32" w:rsidRPr="00685B32" w:rsidRDefault="00685B32" w:rsidP="00685B32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s-EC"/>
              </w:rPr>
            </w:pPr>
            <w:r w:rsidRPr="00685B32">
              <w:rPr>
                <w:rFonts w:ascii="Times New Roman" w:eastAsia="Times New Roman" w:hAnsi="Times New Roman" w:cs="Times New Roman"/>
                <w:sz w:val="24"/>
                <w:szCs w:val="24"/>
                <w:lang w:eastAsia="es-EC"/>
              </w:rPr>
              <w:lastRenderedPageBreak/>
              <w:t> </w:t>
            </w:r>
          </w:p>
        </w:tc>
        <w:tc>
          <w:tcPr>
            <w:tcW w:w="0" w:type="auto"/>
            <w:vAlign w:val="center"/>
            <w:hideMark/>
          </w:tcPr>
          <w:p w:rsidR="00685B32" w:rsidRPr="00685B32" w:rsidRDefault="00685B32" w:rsidP="00685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C"/>
              </w:rPr>
            </w:pPr>
          </w:p>
        </w:tc>
        <w:tc>
          <w:tcPr>
            <w:tcW w:w="0" w:type="auto"/>
            <w:vAlign w:val="center"/>
            <w:hideMark/>
          </w:tcPr>
          <w:p w:rsidR="00685B32" w:rsidRPr="00685B32" w:rsidRDefault="00685B32" w:rsidP="00685B3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EC"/>
              </w:rPr>
            </w:pPr>
          </w:p>
        </w:tc>
      </w:tr>
    </w:tbl>
    <w:p w:rsidR="008E49C1" w:rsidRDefault="00685B32">
      <w:bookmarkStart w:id="0" w:name="_GoBack"/>
      <w:bookmarkEnd w:id="0"/>
    </w:p>
    <w:sectPr w:rsidR="008E49C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B32"/>
    <w:rsid w:val="00323ADC"/>
    <w:rsid w:val="0064604D"/>
    <w:rsid w:val="00685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685B32"/>
    <w:rPr>
      <w:color w:val="0000FF"/>
      <w:u w:val="single"/>
    </w:rPr>
  </w:style>
  <w:style w:type="paragraph" w:customStyle="1" w:styleId="xsection1">
    <w:name w:val="x_section1"/>
    <w:basedOn w:val="Normal"/>
    <w:rsid w:val="00685B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C"/>
    </w:rPr>
  </w:style>
  <w:style w:type="character" w:styleId="Textoennegrita">
    <w:name w:val="Strong"/>
    <w:basedOn w:val="Fuentedeprrafopredeter"/>
    <w:uiPriority w:val="22"/>
    <w:qFormat/>
    <w:rsid w:val="00685B32"/>
    <w:rPr>
      <w:b/>
      <w:bCs/>
    </w:rPr>
  </w:style>
  <w:style w:type="paragraph" w:customStyle="1" w:styleId="xmsonormal">
    <w:name w:val="x_msonormal"/>
    <w:basedOn w:val="Normal"/>
    <w:rsid w:val="00685B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C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685B32"/>
    <w:rPr>
      <w:color w:val="0000FF"/>
      <w:u w:val="single"/>
    </w:rPr>
  </w:style>
  <w:style w:type="paragraph" w:customStyle="1" w:styleId="xsection1">
    <w:name w:val="x_section1"/>
    <w:basedOn w:val="Normal"/>
    <w:rsid w:val="00685B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C"/>
    </w:rPr>
  </w:style>
  <w:style w:type="character" w:styleId="Textoennegrita">
    <w:name w:val="Strong"/>
    <w:basedOn w:val="Fuentedeprrafopredeter"/>
    <w:uiPriority w:val="22"/>
    <w:qFormat/>
    <w:rsid w:val="00685B32"/>
    <w:rPr>
      <w:b/>
      <w:bCs/>
    </w:rPr>
  </w:style>
  <w:style w:type="paragraph" w:customStyle="1" w:styleId="xmsonormal">
    <w:name w:val="x_msonormal"/>
    <w:basedOn w:val="Normal"/>
    <w:rsid w:val="00685B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41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08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27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56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492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210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0142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8776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203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6737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6267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69304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38364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54495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14683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2277448">
                                                                  <w:marLeft w:val="405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898867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411197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214324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6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145876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306609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single" w:sz="6" w:space="15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9249271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253625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4419577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494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0417932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5383746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74136588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ri.gob.ec/web/guest/1011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299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NILO</dc:creator>
  <cp:lastModifiedBy>NILO</cp:lastModifiedBy>
  <cp:revision>1</cp:revision>
  <dcterms:created xsi:type="dcterms:W3CDTF">2016-06-30T16:54:00Z</dcterms:created>
  <dcterms:modified xsi:type="dcterms:W3CDTF">2016-06-30T16:55:00Z</dcterms:modified>
</cp:coreProperties>
</file>